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i/>
          <w:i/>
          <w:sz w:val="22"/>
          <w:szCs w:val="22"/>
        </w:rPr>
      </w:pPr>
      <w:r>
        <w:rPr>
          <w:rFonts w:cs="Times New Roman" w:ascii="Liberation Serif" w:hAnsi="Liberation Serif"/>
          <w:b/>
          <w:i/>
          <w:sz w:val="22"/>
          <w:szCs w:val="22"/>
        </w:rPr>
        <w:t>Приложение 1 к техническим требованиям на закупку Амурские ЭС</w:t>
      </w:r>
    </w:p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tLeast" w:line="0"/>
        <w:jc w:val="center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b/>
        </w:rPr>
      </w:pPr>
      <w:r>
        <w:rPr>
          <w:rFonts w:cs="Times New Roman" w:ascii="Liberation Serif" w:hAnsi="Liberation Serif"/>
          <w:b/>
        </w:rPr>
      </w:r>
    </w:p>
    <w:p>
      <w:pPr>
        <w:pStyle w:val="Closing"/>
        <w:spacing w:lineRule="auto" w:line="240"/>
        <w:jc w:val="left"/>
        <w:rPr/>
      </w:pPr>
      <w:r>
        <w:rPr>
          <w:rStyle w:val="Style6"/>
          <w:rFonts w:ascii="Liberation Serif" w:hAnsi="Liberation Serif"/>
          <w:sz w:val="24"/>
          <w:szCs w:val="24"/>
        </w:rPr>
        <w:t>Заказчик:  филиал АО «ДРСК» «Амурские ЭС» для СП «ЦЭС»</w:t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ascii="Liberation Serif" w:hAnsi="Liberation Serif"/>
          <w:b/>
          <w:bCs/>
          <w:sz w:val="24"/>
          <w:szCs w:val="24"/>
        </w:rPr>
        <w:t>Объект (место): служба ИЗПИ СП ЦЭС</w:t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/>
      </w:pP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1</w:t>
      </w: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. Измерительное устройство для контроля тока проводимости ОПН УКТ-04</w:t>
      </w:r>
    </w:p>
    <w:tbl>
      <w:tblPr>
        <w:tblW w:w="10093" w:type="dxa"/>
        <w:jc w:val="left"/>
        <w:tblInd w:w="-75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530"/>
        <w:gridCol w:w="4706"/>
        <w:gridCol w:w="2609"/>
        <w:gridCol w:w="2247"/>
      </w:tblGrid>
      <w:tr>
        <w:trPr>
          <w:trHeight w:val="354" w:hRule="atLeast"/>
        </w:trPr>
        <w:tc>
          <w:tcPr>
            <w:tcW w:w="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7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Технические и функциональные характеристики (параметры эквивалентности)</w:t>
            </w:r>
          </w:p>
        </w:tc>
        <w:tc>
          <w:tcPr>
            <w:tcW w:w="2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Требование заказчика</w:t>
            </w:r>
          </w:p>
        </w:tc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Предложение Участника</w:t>
            </w:r>
          </w:p>
        </w:tc>
      </w:tr>
      <w:tr>
        <w:trPr/>
        <w:tc>
          <w:tcPr>
            <w:tcW w:w="5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Значение</w:t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22"/>
                <w:szCs w:val="22"/>
                <w:lang w:eastAsia="en-US"/>
              </w:rPr>
              <w:t>(параметры эквивалентности)</w:t>
            </w:r>
          </w:p>
        </w:tc>
      </w:tr>
      <w:tr>
        <w:trPr/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Селективные режимы работы "50 Гц" или "150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2"/>
                <w:szCs w:val="22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2"/>
                <w:szCs w:val="22"/>
              </w:rPr>
              <w:t>Измерение действующих значений первой (50 Гц) или третьей (150 Гц) гармонических составляющих тока проводимости, в режиме работы «Мах» - максимальное значение тока проводимости в полосе частот: 50-500 Гц</w:t>
            </w:r>
          </w:p>
        </w:tc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402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Диапазон измеряемых токов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0,1 - 5 мА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"150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0,1 - 5 мА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"Мах"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0,3 - 7,5 мА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Предел допускаемой основной погрешности измерения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6%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"150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6%</w:t>
            </w:r>
          </w:p>
        </w:tc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"Мах"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10%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Номинальная полоса частот в селективных режимах работы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49 - 51 Гц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"150 Гц"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147 - 153 Гц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Время измерения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"50 Гц"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1,5 с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"150 Гц"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1,5 с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"Мах"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5 с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Общие характеристики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Рабочие условия эксплуатации пульта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От 0 до + 40 °С, при относительной влажности до 90%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Рабочие условия эксплуатации датчика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От -45 до + 45 °С, при относительной влажности до 98%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Нормальные условия эксплуатации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От 20±10 °С, при относительной влажности 65±30%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1399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Воздействие внешних электрических и магнитных полей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/>
            </w:pPr>
            <w:r>
              <w:rPr>
                <w:rStyle w:val="Style6"/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50 Гц с уровнем напряженности электрического поля до 20 кВ/м;</w:t>
              <w:br/>
              <w:t>напряженности магнитного поля до 20 А/м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Протекание разрядного тока ОПН       (имульс 8/20 мкс)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Амплитудой до 20 кА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Дополнительная погрешность измерения, связанная с воздействием электрических и магнитных полей 50 Гц на датчик Устройства в режимах «50 Гц», «150 Гц» и «Мах»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5%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Питание пульта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Автономное 6 В (4 батареи типа "А316"), ток потребления не более 20 мА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Габаритные размеры пульта, мм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175 x 85 x 35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Габаритные размеры датчика, мм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105 x 70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Масса пульта, кг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0,5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Масса датчика, кг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1 кг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7845" w:type="dxa"/>
            <w:gridSpan w:val="3"/>
            <w:tcBorders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b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b/>
                <w:bCs/>
                <w:color w:val="000000"/>
                <w:kern w:val="0"/>
                <w:sz w:val="24"/>
                <w:szCs w:val="24"/>
              </w:rPr>
              <w:t>Время измерения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Режим "50 Гц"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Не более 1,5 с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Количество приобретаемых приборов</w:t>
            </w:r>
          </w:p>
        </w:tc>
        <w:tc>
          <w:tcPr>
            <w:tcW w:w="2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Normal"/>
        <w:rPr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Комплектация</w:t>
      </w:r>
    </w:p>
    <w:tbl>
      <w:tblPr>
        <w:tblW w:w="10077" w:type="dxa"/>
        <w:jc w:val="left"/>
        <w:tblInd w:w="-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563"/>
        <w:gridCol w:w="7851"/>
        <w:gridCol w:w="1663"/>
      </w:tblGrid>
      <w:tr>
        <w:trPr>
          <w:trHeight w:val="285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Количество, шт.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Измерительное устройство для контроля тока проводимости ОПН УКТ-04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bookmarkStart w:id="0" w:name="_GoBack2"/>
            <w:bookmarkEnd w:id="0"/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Соединительный кабель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Паспорт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Методика поверки (калибровки)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Свидетельство о поверке (калибровке)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/>
      </w:r>
    </w:p>
    <w:sectPr>
      <w:type w:val="nextPage"/>
      <w:pgSz w:w="11906" w:h="16838"/>
      <w:pgMar w:left="1134" w:right="624" w:header="0" w:top="720" w:footer="0" w:bottom="709" w:gutter="0"/>
      <w:pgNumType w:fmt="decimal"/>
      <w:formProt w:val="false"/>
      <w:textDirection w:val="lrTb"/>
      <w:docGrid w:type="default" w:linePitch="60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"/>
    <w:qFormat/>
    <w:pPr>
      <w:keepNext w:val="true"/>
      <w:suppressAutoHyphens w:val="true"/>
      <w:spacing w:lineRule="auto" w:line="240" w:before="240" w:after="60"/>
      <w:textAlignment w:val="baseline"/>
      <w:outlineLvl w:val="0"/>
    </w:pPr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link w:val="2"/>
    <w:qFormat/>
    <w:pPr>
      <w:keepNext w:val="true"/>
      <w:suppressAutoHyphens w:val="true"/>
      <w:spacing w:lineRule="auto" w:line="240" w:before="600" w:after="300"/>
      <w:jc w:val="center"/>
      <w:textAlignment w:val="baseline"/>
      <w:outlineLvl w:val="1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3">
    <w:name w:val="Heading 3"/>
    <w:basedOn w:val="Normal"/>
    <w:link w:val="3"/>
    <w:qFormat/>
    <w:pPr>
      <w:keepNext w:val="true"/>
      <w:suppressAutoHyphens w:val="true"/>
      <w:spacing w:lineRule="atLeast" w:line="240" w:before="0" w:after="360"/>
      <w:ind w:left="2880" w:right="0" w:firstLine="720"/>
      <w:jc w:val="both"/>
      <w:textAlignment w:val="baseline"/>
      <w:outlineLvl w:val="2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4">
    <w:name w:val="Heading 4"/>
    <w:basedOn w:val="Normal"/>
    <w:link w:val="4"/>
    <w:qFormat/>
    <w:pPr>
      <w:keepNext w:val="true"/>
      <w:suppressAutoHyphens w:val="true"/>
      <w:spacing w:lineRule="atLeast" w:line="240" w:before="360" w:after="0"/>
      <w:ind w:left="0" w:right="0" w:firstLine="34"/>
      <w:jc w:val="both"/>
      <w:textAlignment w:val="baseline"/>
      <w:outlineLvl w:val="3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5">
    <w:name w:val="Heading 5"/>
    <w:basedOn w:val="Normal"/>
    <w:link w:val="5"/>
    <w:qFormat/>
    <w:pPr>
      <w:keepNext w:val="true"/>
      <w:suppressAutoHyphens w:val="true"/>
      <w:spacing w:lineRule="auto" w:line="240" w:before="0" w:after="0"/>
      <w:ind w:left="6521" w:right="0" w:hanging="0"/>
      <w:textAlignment w:val="baseline"/>
      <w:outlineLvl w:val="4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6">
    <w:name w:val="Heading 6"/>
    <w:basedOn w:val="Normal"/>
    <w:link w:val="6"/>
    <w:qFormat/>
    <w:pPr>
      <w:suppressAutoHyphens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 w:cs="Times New Roman"/>
      <w:b/>
      <w:bCs/>
      <w:kern w:val="2"/>
      <w:lang w:eastAsia="ru-RU"/>
    </w:rPr>
  </w:style>
  <w:style w:type="paragraph" w:styleId="7">
    <w:name w:val="Heading 7"/>
    <w:basedOn w:val="Normal"/>
    <w:link w:val="7"/>
    <w:qFormat/>
    <w:pPr>
      <w:suppressAutoHyphens w:val="true"/>
      <w:spacing w:lineRule="auto" w:line="240" w:before="240" w:after="60"/>
      <w:textAlignment w:val="baseline"/>
      <w:outlineLvl w:val="6"/>
    </w:pPr>
    <w:rPr>
      <w:rFonts w:ascii="Calibri" w:hAnsi="Calibri" w:eastAsia="Calibri" w:cs="Calibri"/>
      <w:kern w:val="2"/>
      <w:sz w:val="24"/>
      <w:szCs w:val="24"/>
      <w:lang w:eastAsia="ru-RU"/>
    </w:rPr>
  </w:style>
  <w:style w:type="paragraph" w:styleId="8">
    <w:name w:val="Heading 8"/>
    <w:basedOn w:val="Normal"/>
    <w:link w:val="8"/>
    <w:qFormat/>
    <w:pPr>
      <w:keepNext w:val="true"/>
      <w:suppressAutoHyphens w:val="true"/>
      <w:spacing w:lineRule="atLeast" w:line="240" w:before="0" w:after="0"/>
      <w:ind w:left="36" w:right="36" w:hanging="0"/>
      <w:jc w:val="center"/>
      <w:textAlignment w:val="baseline"/>
      <w:outlineLvl w:val="7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9">
    <w:name w:val="Heading 9"/>
    <w:basedOn w:val="Normal"/>
    <w:link w:val="9"/>
    <w:qFormat/>
    <w:pPr>
      <w:suppressAutoHyphens w:val="true"/>
      <w:spacing w:lineRule="auto" w:line="240" w:before="240" w:after="60"/>
      <w:textAlignment w:val="baseline"/>
      <w:outlineLvl w:val="8"/>
    </w:pPr>
    <w:rPr>
      <w:rFonts w:ascii="Arial" w:hAnsi="Arial" w:eastAsia="Arial" w:cs="Arial"/>
      <w:kern w:val="2"/>
      <w:lang w:eastAsia="ru-RU"/>
    </w:rPr>
  </w:style>
  <w:style w:type="character" w:styleId="DefaultParagraphFontWW">
    <w:name w:val="Default Paragraph Font (WW)"/>
    <w:qFormat/>
    <w:rPr/>
  </w:style>
  <w:style w:type="character" w:styleId="11">
    <w:name w:val="Заголовок 1 Знак"/>
    <w:basedOn w:val="DefaultParagraphFontWW"/>
    <w:qFormat/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character" w:styleId="21">
    <w:name w:val="Заголовок 2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31">
    <w:name w:val="Заголовок 3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41">
    <w:name w:val="Заголовок 4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51">
    <w:name w:val="Заголовок 5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61">
    <w:name w:val="Заголовок 6 Знак"/>
    <w:basedOn w:val="DefaultParagraphFontWW"/>
    <w:qFormat/>
    <w:rPr>
      <w:rFonts w:ascii="Times New Roman" w:hAnsi="Times New Roman" w:eastAsia="Times New Roman" w:cs="Times New Roman"/>
      <w:b/>
      <w:bCs/>
      <w:kern w:val="2"/>
      <w:lang w:eastAsia="ru-RU"/>
    </w:rPr>
  </w:style>
  <w:style w:type="character" w:styleId="71">
    <w:name w:val="Заголовок 7 Знак"/>
    <w:basedOn w:val="DefaultParagraphFontWW"/>
    <w:qFormat/>
    <w:rPr>
      <w:rFonts w:ascii="Calibri" w:hAnsi="Calibri" w:eastAsia="Calibri" w:cs="Calibri"/>
      <w:kern w:val="2"/>
      <w:sz w:val="24"/>
      <w:szCs w:val="24"/>
      <w:lang w:eastAsia="ru-RU"/>
    </w:rPr>
  </w:style>
  <w:style w:type="character" w:styleId="81">
    <w:name w:val="Заголовок 8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91">
    <w:name w:val="Заголовок 9 Знак"/>
    <w:basedOn w:val="DefaultParagraphFontWW"/>
    <w:qFormat/>
    <w:rPr>
      <w:rFonts w:ascii="Arial" w:hAnsi="Arial" w:eastAsia="Arial" w:cs="Arial"/>
      <w:kern w:val="2"/>
      <w:lang w:eastAsia="ru-RU"/>
    </w:rPr>
  </w:style>
  <w:style w:type="character" w:styleId="Style5">
    <w:name w:val="Интернет-ссылка"/>
    <w:basedOn w:val="DefaultParagraphFontWW"/>
    <w:rPr>
      <w:color w:val="0563C1"/>
      <w:u w:val="single"/>
    </w:rPr>
  </w:style>
  <w:style w:type="character" w:styleId="Style6">
    <w:name w:val="Основной шрифт абзаца"/>
    <w:qFormat/>
    <w:rPr/>
  </w:style>
  <w:style w:type="character" w:styleId="WWCharLFO54LVL1">
    <w:name w:val="WW_CharLFO54LVL1"/>
    <w:qFormat/>
    <w:rPr>
      <w:rFonts w:ascii="OpenSymbol" w:hAnsi="OpenSymbol" w:eastAsia="OpenSymbol" w:cs="OpenSymbol"/>
    </w:rPr>
  </w:style>
  <w:style w:type="character" w:styleId="WWCharLFO54LVL2">
    <w:name w:val="WW_CharLFO54LVL2"/>
    <w:qFormat/>
    <w:rPr>
      <w:rFonts w:ascii="OpenSymbol" w:hAnsi="OpenSymbol" w:eastAsia="OpenSymbol" w:cs="OpenSymbol"/>
    </w:rPr>
  </w:style>
  <w:style w:type="character" w:styleId="WWCharLFO54LVL3">
    <w:name w:val="WW_CharLFO54LVL3"/>
    <w:qFormat/>
    <w:rPr>
      <w:rFonts w:ascii="OpenSymbol" w:hAnsi="OpenSymbol" w:eastAsia="OpenSymbol" w:cs="OpenSymbol"/>
    </w:rPr>
  </w:style>
  <w:style w:type="character" w:styleId="WWCharLFO54LVL4">
    <w:name w:val="WW_CharLFO54LVL4"/>
    <w:qFormat/>
    <w:rPr>
      <w:rFonts w:ascii="OpenSymbol" w:hAnsi="OpenSymbol" w:eastAsia="OpenSymbol" w:cs="OpenSymbol"/>
    </w:rPr>
  </w:style>
  <w:style w:type="character" w:styleId="WWCharLFO54LVL5">
    <w:name w:val="WW_CharLFO54LVL5"/>
    <w:qFormat/>
    <w:rPr>
      <w:rFonts w:ascii="OpenSymbol" w:hAnsi="OpenSymbol" w:eastAsia="OpenSymbol" w:cs="OpenSymbol"/>
    </w:rPr>
  </w:style>
  <w:style w:type="character" w:styleId="WWCharLFO54LVL6">
    <w:name w:val="WW_CharLFO54LVL6"/>
    <w:qFormat/>
    <w:rPr>
      <w:rFonts w:ascii="OpenSymbol" w:hAnsi="OpenSymbol" w:eastAsia="OpenSymbol" w:cs="OpenSymbol"/>
    </w:rPr>
  </w:style>
  <w:style w:type="character" w:styleId="WWCharLFO54LVL7">
    <w:name w:val="WW_CharLFO54LVL7"/>
    <w:qFormat/>
    <w:rPr>
      <w:rFonts w:ascii="OpenSymbol" w:hAnsi="OpenSymbol" w:eastAsia="OpenSymbol" w:cs="OpenSymbol"/>
    </w:rPr>
  </w:style>
  <w:style w:type="character" w:styleId="WWCharLFO54LVL8">
    <w:name w:val="WW_CharLFO54LVL8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eastAsia="OpenSymbol" w:cs="OpenSymbol"/>
    </w:rPr>
  </w:style>
  <w:style w:type="character" w:styleId="Style7">
    <w:name w:val="Маркеры"/>
    <w:qFormat/>
    <w:rPr>
      <w:rFonts w:ascii="OpenSymbol" w:hAnsi="OpenSymbol" w:eastAsia="OpenSymbol" w:cs="OpenSymbol"/>
    </w:rPr>
  </w:style>
  <w:style w:type="character" w:styleId="Style8">
    <w:name w:val="Посещённая гиперссылка"/>
    <w:rPr>
      <w:color w:val="80008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Footer"/>
    <w:basedOn w:val="Style14"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2"/>
      <w:szCs w:val="22"/>
      <w:lang w:val="ru-RU" w:eastAsia="en-US" w:bidi="ar-SA"/>
    </w:rPr>
  </w:style>
  <w:style w:type="paragraph" w:styleId="Style17">
    <w:name w:val="Обычный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Closing1">
    <w:name w:val="Closing1"/>
    <w:basedOn w:val="Normal"/>
    <w:qFormat/>
    <w:pPr>
      <w:overflowPunct w:val="tru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19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0">
    <w:name w:val="Абзац списка"/>
    <w:basedOn w:val="Normal"/>
    <w:qFormat/>
    <w:pPr>
      <w:widowControl/>
      <w:tabs>
        <w:tab w:val="clear" w:pos="708"/>
      </w:tabs>
      <w:suppressAutoHyphens w:val="true"/>
      <w:spacing w:lineRule="auto" w:line="276" w:before="0" w:after="200"/>
      <w:ind w:left="720" w:right="0" w:hanging="0"/>
    </w:pPr>
    <w:rPr>
      <w:rFonts w:ascii="Calibri" w:hAnsi="Calibri" w:eastAsia="Calibri"/>
      <w:sz w:val="22"/>
      <w:szCs w:val="22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ru-RU" w:eastAsia="en-US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21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WW">
    <w:name w:val="No List (WW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Application>LibreOffice/7.1.8.1$Linux_X86_64 LibreOffice_project/10$Build-1</Application>
  <AppVersion>15.0000</AppVersion>
  <Pages>2</Pages>
  <Words>394</Words>
  <Characters>1996</Characters>
  <CharactersWithSpaces>2283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2024-09-23T00:47:00Z</dcterms:created>
  <dc:creator>Михаил</dc:creator>
  <dc:description/>
  <dc:language>ru-RU</dc:language>
  <cp:lastModifiedBy/>
  <cp:lastPrinted>2025-07-15T16:32:59Z</cp:lastPrinted>
  <dcterms:modified xsi:type="dcterms:W3CDTF">2026-07-16T14:36:18Z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